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65675C9" w:rsidR="009D60D5" w:rsidRPr="001B5605" w:rsidRDefault="0076480A" w:rsidP="009D60D5">
            <w:pPr>
              <w:rPr>
                <w:rFonts w:asciiTheme="minorHAnsi" w:hAnsiTheme="minorHAnsi"/>
                <w:b/>
                <w:sz w:val="24"/>
              </w:rPr>
            </w:pP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F3608A">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405B111" w:rsidR="00741D2D" w:rsidRPr="00533C06" w:rsidRDefault="001B68F8" w:rsidP="001B68F8">
            <w:pPr>
              <w:jc w:val="both"/>
              <w:rPr>
                <w:rFonts w:ascii="Calibri" w:hAnsi="Calibri"/>
                <w:sz w:val="22"/>
                <w:szCs w:val="22"/>
              </w:rPr>
            </w:pPr>
            <w:r>
              <w:rPr>
                <w:rFonts w:asciiTheme="minorHAnsi" w:hAnsiTheme="minorHAnsi" w:cstheme="minorHAnsi"/>
                <w:b/>
                <w:i/>
                <w:sz w:val="22"/>
                <w:szCs w:val="22"/>
              </w:rPr>
              <w:t xml:space="preserve">Lot 2 : </w:t>
            </w:r>
            <w:r w:rsidR="00F3608A" w:rsidRPr="00533C06">
              <w:rPr>
                <w:rFonts w:asciiTheme="minorHAnsi" w:hAnsiTheme="minorHAnsi" w:cstheme="minorHAnsi"/>
                <w:b/>
                <w:i/>
                <w:sz w:val="22"/>
                <w:szCs w:val="22"/>
              </w:rPr>
              <w:t>Fourniture et livraison de semences et de petit matériel agricole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D8773B1"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DU CONTRAT :</w:t>
            </w:r>
            <w:bookmarkEnd w:id="2"/>
          </w:p>
          <w:p w14:paraId="7E809CC5" w14:textId="6AC02202"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08FF1801" w:rsidR="00707B69" w:rsidRPr="00661336" w:rsidRDefault="00801ECC" w:rsidP="00C25BF9">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661336">
              <w:rPr>
                <w:rFonts w:asciiTheme="minorHAnsi" w:hAnsiTheme="minorHAnsi" w:cstheme="minorHAnsi"/>
                <w:sz w:val="22"/>
                <w:szCs w:val="22"/>
              </w:rPr>
              <w:t xml:space="preserve">une </w:t>
            </w:r>
            <w:bookmarkStart w:id="3" w:name="_GoBack"/>
            <w:bookmarkEnd w:id="3"/>
            <w:r w:rsidR="00F3608A" w:rsidRPr="00661336">
              <w:rPr>
                <w:rFonts w:asciiTheme="minorHAnsi" w:hAnsiTheme="minorHAnsi" w:cstheme="minorHAnsi"/>
                <w:sz w:val="22"/>
                <w:szCs w:val="22"/>
              </w:rPr>
              <w:t>Procédure</w:t>
            </w:r>
            <w:r w:rsidRPr="00661336">
              <w:rPr>
                <w:rFonts w:asciiTheme="minorHAnsi" w:hAnsiTheme="minorHAnsi" w:cstheme="minorHAnsi"/>
                <w:sz w:val="22"/>
                <w:szCs w:val="22"/>
              </w:rPr>
              <w:t xml:space="preserve"> adaptée en application </w:t>
            </w:r>
            <w:r w:rsidR="00554974" w:rsidRPr="00661336">
              <w:rPr>
                <w:rFonts w:asciiTheme="minorHAnsi" w:hAnsiTheme="minorHAnsi" w:cstheme="minorHAnsi"/>
                <w:sz w:val="22"/>
                <w:szCs w:val="22"/>
              </w:rPr>
              <w:t>des articles L. 2123-1 et R. 2123-1 au R. 2123-7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76480A">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76480A">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76480A">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76480A">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76480A">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76480A">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76480A">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76480A">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76480A">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76480A">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76480A">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76480A">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76480A">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76480A">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76480A">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76480A">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76480A">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76480A">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76480A">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76480A">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76480A">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76480A">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76480A">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76480A">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76480A">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76480A">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76480A">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76480A">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76480A">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76480A">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76480A">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76480A">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76480A">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76480A">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76480A">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76480A">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76480A">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76480A">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76480A">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76480A">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76480A">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76480A">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A241AA3" w14:textId="77777777" w:rsidR="00C435B9" w:rsidRDefault="00C435B9" w:rsidP="00C435B9">
      <w:pPr>
        <w:spacing w:line="240" w:lineRule="auto"/>
        <w:jc w:val="both"/>
        <w:rPr>
          <w:rFonts w:asciiTheme="minorHAnsi" w:hAnsiTheme="minorHAnsi" w:cstheme="minorHAnsi"/>
          <w:sz w:val="22"/>
          <w:szCs w:val="22"/>
        </w:rPr>
      </w:pPr>
      <w:r>
        <w:rPr>
          <w:rFonts w:asciiTheme="minorHAnsi" w:hAnsiTheme="minorHAnsi" w:cstheme="minorHAnsi"/>
          <w:sz w:val="22"/>
          <w:szCs w:val="22"/>
        </w:rPr>
        <w:t>Le présent Contrat de prestation de services s’inscrit dans le cadre du projet de coopération ci-après dénommé le « CONTRAT PRINCIPAL », dont le code est N° CKM 1101 01J/CKM 1101 05N signé le 1er/09/2020 entre L’AFD et Expertise France, portant sur « Appui aux Filières d’exportation et au Développement Rural (AFIDEV) », mis en œuvre par EXPERTISE France</w:t>
      </w:r>
    </w:p>
    <w:p w14:paraId="665BF18F" w14:textId="233E3E65" w:rsidR="00416A7A" w:rsidRPr="00C435B9" w:rsidRDefault="00DE1070" w:rsidP="00C435B9">
      <w:pPr>
        <w:spacing w:line="240" w:lineRule="auto"/>
        <w:jc w:val="both"/>
        <w:rPr>
          <w:rFonts w:asciiTheme="minorHAnsi" w:hAnsiTheme="minorHAnsi" w:cstheme="minorHAnsi"/>
          <w:sz w:val="22"/>
          <w:szCs w:val="22"/>
        </w:rPr>
      </w:pPr>
      <w:r w:rsidRPr="00A86E43">
        <w:rPr>
          <w:rFonts w:asciiTheme="minorHAnsi" w:hAnsiTheme="minorHAnsi" w:cs="Arial"/>
          <w:sz w:val="22"/>
        </w:rPr>
        <w:t>Dans le</w:t>
      </w:r>
      <w:r w:rsidR="00C435B9">
        <w:rPr>
          <w:rFonts w:asciiTheme="minorHAnsi" w:hAnsiTheme="minorHAnsi" w:cs="Arial"/>
          <w:sz w:val="22"/>
        </w:rPr>
        <w:t xml:space="preserve"> cadre du projet de coopération</w:t>
      </w:r>
      <w:r w:rsidRPr="00A86E43">
        <w:rPr>
          <w:rFonts w:asciiTheme="minorHAnsi" w:hAnsiTheme="minorHAnsi" w:cs="Arial"/>
          <w:sz w:val="22"/>
        </w:rPr>
        <w:t xml:space="preserv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C435B9">
        <w:rPr>
          <w:rFonts w:asciiTheme="minorHAnsi" w:hAnsiTheme="minorHAnsi" w:cstheme="minorHAnsi"/>
          <w:sz w:val="22"/>
          <w:szCs w:val="22"/>
        </w:rPr>
        <w:t xml:space="preserve">signé le 1er/09/2020 entre L’AFD et Expertise France, portant sur « Appui aux Filières d’exportation et au Développement Rural (AFIDEV) », mis en œuvre par EXPERTISE France </w:t>
      </w:r>
      <w:r w:rsidRPr="00A86E43">
        <w:rPr>
          <w:rFonts w:asciiTheme="minorHAnsi" w:hAnsiTheme="minorHAnsi" w:cs="Arial"/>
          <w:sz w:val="22"/>
        </w:rPr>
        <w:t xml:space="preserve">qui l’accepte, de réaliser au titre du présent </w:t>
      </w:r>
      <w:r w:rsidRPr="00A86E43">
        <w:rPr>
          <w:rFonts w:asciiTheme="minorHAnsi" w:hAnsiTheme="minorHAnsi" w:cs="Arial"/>
          <w:smallCaps/>
          <w:sz w:val="22"/>
        </w:rPr>
        <w:t xml:space="preserve">Contrat </w:t>
      </w:r>
      <w:r w:rsidR="00C435B9">
        <w:rPr>
          <w:rFonts w:asciiTheme="minorHAnsi" w:hAnsiTheme="minorHAnsi" w:cs="Arial"/>
          <w:sz w:val="22"/>
        </w:rPr>
        <w:t>la livraison d</w:t>
      </w:r>
      <w:r w:rsidRPr="00A86E43">
        <w:rPr>
          <w:rFonts w:asciiTheme="minorHAnsi" w:hAnsiTheme="minorHAnsi" w:cs="Arial"/>
          <w:sz w:val="22"/>
        </w:rPr>
        <w:t>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7354BBD0" w14:textId="5B42B4EE" w:rsidR="00C435B9" w:rsidRDefault="00E551F2" w:rsidP="00C435B9">
      <w:pPr>
        <w:jc w:val="both"/>
        <w:rPr>
          <w:rFonts w:ascii="Calibri" w:hAnsi="Calibri"/>
          <w:sz w:val="22"/>
          <w:szCs w:val="22"/>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DE3F48" w:rsidRPr="00DE3F48">
        <w:rPr>
          <w:rFonts w:asciiTheme="minorHAnsi" w:hAnsiTheme="minorHAnsi" w:cs="Arial"/>
          <w:b/>
          <w:i/>
        </w:rPr>
        <w:t>Fourniture et livraison de semences et de petits matériel agricole</w:t>
      </w:r>
      <w:r w:rsidR="00DE3F48">
        <w:rPr>
          <w:rFonts w:asciiTheme="minorHAnsi" w:hAnsiTheme="minorHAnsi" w:cs="Arial"/>
          <w:b/>
          <w:i/>
        </w:rPr>
        <w:t xml:space="preserve"> (LOT 2)</w:t>
      </w:r>
      <w:r w:rsidR="00DE3F48">
        <w:rPr>
          <w:rFonts w:asciiTheme="minorHAnsi" w:hAnsiTheme="minorHAnsi" w:cs="Arial"/>
        </w:rPr>
        <w:t> ».</w:t>
      </w:r>
      <w:r w:rsidR="00C435B9">
        <w:rPr>
          <w:rFonts w:ascii="Calibri" w:hAnsi="Calibri"/>
          <w:sz w:val="22"/>
          <w:szCs w:val="22"/>
        </w:rPr>
        <w:t xml:space="preserve">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115D9069"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17FF4CE0" w:rsidR="00113F82" w:rsidRPr="008B405B" w:rsidRDefault="00996FEA" w:rsidP="008B405B">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1520B7" w:rsidRPr="008B405B">
        <w:rPr>
          <w:rFonts w:asciiTheme="minorHAnsi" w:hAnsiTheme="minorHAnsi" w:cstheme="minorHAnsi"/>
          <w:szCs w:val="22"/>
          <w:highlight w:val="yellow"/>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77F9DB9E" w14:textId="0B13958B" w:rsidR="00644EB5" w:rsidRPr="008B405B" w:rsidRDefault="00E3012B" w:rsidP="008B405B">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r w:rsidR="00644EB5"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709C587E" w14:textId="47DFEEED" w:rsidR="005554F6" w:rsidRDefault="00804BED" w:rsidP="008B405B">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8B405B">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8B405B">
        <w:rPr>
          <w:rFonts w:asciiTheme="minorHAnsi" w:hAnsiTheme="minorHAnsi" w:cstheme="minorHAnsi"/>
          <w:szCs w:val="22"/>
        </w:rPr>
        <w:t>.</w:t>
      </w:r>
      <w:bookmarkStart w:id="12" w:name="_Toc392669632"/>
      <w:bookmarkEnd w:id="11"/>
    </w:p>
    <w:p w14:paraId="74DDD00A" w14:textId="77777777" w:rsidR="008B405B" w:rsidRPr="00A86E43" w:rsidRDefault="008B405B" w:rsidP="008B405B">
      <w:pPr>
        <w:pStyle w:val="u"/>
        <w:widowControl w:val="0"/>
        <w:ind w:left="567"/>
        <w:rPr>
          <w:rFonts w:asciiTheme="minorHAnsi" w:hAnsiTheme="minorHAnsi" w:cstheme="minorHAnsi"/>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3" w:name="_Toc126921973"/>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25C84C56"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300A13" w:rsidRPr="00300A13">
        <w:rPr>
          <w:rFonts w:asciiTheme="minorHAnsi" w:hAnsiTheme="minorHAnsi" w:cs="Arial"/>
          <w:b/>
        </w:rPr>
        <w:t>8</w:t>
      </w:r>
      <w:r w:rsidR="0042429A" w:rsidRPr="00300A13">
        <w:rPr>
          <w:rFonts w:asciiTheme="minorHAnsi" w:hAnsiTheme="minorHAnsi" w:cs="Arial"/>
          <w:b/>
        </w:rPr>
        <w:t xml:space="preserve"> mois</w:t>
      </w:r>
      <w:r w:rsidR="0042429A">
        <w:rPr>
          <w:rFonts w:asciiTheme="minorHAnsi" w:hAnsiTheme="minorHAnsi" w:cs="Arial"/>
        </w:rPr>
        <w:t xml:space="preserve">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25E5C7CC" w14:textId="42842EAB" w:rsidR="007056F7" w:rsidRDefault="00413542" w:rsidP="0042429A">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790A1226" w:rsidR="001E12A9" w:rsidRPr="00A86E43" w:rsidRDefault="001E12A9" w:rsidP="001E12A9">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de livraison des fournitures</w:t>
      </w:r>
      <w:bookmarkEnd w:id="14"/>
    </w:p>
    <w:p w14:paraId="48DFE8F3" w14:textId="4B55AF6C"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42429A">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42429A">
        <w:rPr>
          <w:rFonts w:asciiTheme="minorHAnsi" w:hAnsiTheme="minorHAnsi" w:cs="Arial"/>
          <w:smallCaps/>
        </w:rPr>
        <w:t xml:space="preserve"> </w:t>
      </w:r>
      <w:r w:rsidR="00B30BC2" w:rsidRPr="00A86E43">
        <w:rPr>
          <w:rFonts w:asciiTheme="minorHAnsi" w:hAnsiTheme="minorHAnsi" w:cs="Arial"/>
        </w:rPr>
        <w:t xml:space="preserve">est fixé à </w:t>
      </w:r>
      <w:r w:rsidR="0042429A" w:rsidRPr="00300A13">
        <w:rPr>
          <w:rFonts w:asciiTheme="minorHAnsi" w:hAnsiTheme="minorHAnsi" w:cs="Arial"/>
          <w:b/>
        </w:rPr>
        <w:t>60</w:t>
      </w:r>
      <w:r w:rsidR="0042429A">
        <w:rPr>
          <w:rFonts w:asciiTheme="minorHAnsi" w:hAnsiTheme="minorHAnsi" w:cs="Arial"/>
        </w:rPr>
        <w:t xml:space="preserve"> jours à compter </w:t>
      </w:r>
      <w:r w:rsidR="00B30BC2" w:rsidRPr="00A86E43">
        <w:rPr>
          <w:rFonts w:asciiTheme="minorHAnsi" w:hAnsiTheme="minorHAnsi" w:cs="Arial"/>
        </w:rPr>
        <w:t xml:space="preserve">de la date de notification du présent </w:t>
      </w:r>
      <w:r w:rsidR="0042429A">
        <w:rPr>
          <w:rFonts w:asciiTheme="minorHAnsi" w:hAnsiTheme="minorHAnsi" w:cs="Arial"/>
          <w:smallCaps/>
        </w:rPr>
        <w:t>contrat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7BD57045"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049DBC3B"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357FFD">
        <w:rPr>
          <w:rFonts w:asciiTheme="minorHAnsi" w:hAnsiTheme="minorHAnsi" w:cstheme="minorHAnsi"/>
          <w:szCs w:val="22"/>
        </w:rPr>
        <w:t>es fournitures correspondantes.</w:t>
      </w:r>
    </w:p>
    <w:p w14:paraId="3F5DD216" w14:textId="77777777" w:rsidR="00F53E95" w:rsidRPr="00A86E43"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923" w:type="dxa"/>
        <w:tblInd w:w="-147" w:type="dxa"/>
        <w:tblLook w:val="04A0" w:firstRow="1" w:lastRow="0" w:firstColumn="1" w:lastColumn="0" w:noHBand="0" w:noVBand="1"/>
      </w:tblPr>
      <w:tblGrid>
        <w:gridCol w:w="5104"/>
        <w:gridCol w:w="1275"/>
        <w:gridCol w:w="3544"/>
      </w:tblGrid>
      <w:tr w:rsidR="00F53E95" w:rsidRPr="00A86E43" w14:paraId="653E92C7" w14:textId="77777777" w:rsidTr="00300A13">
        <w:trPr>
          <w:trHeight w:val="537"/>
        </w:trPr>
        <w:tc>
          <w:tcPr>
            <w:tcW w:w="5104" w:type="dxa"/>
            <w:vAlign w:val="center"/>
          </w:tcPr>
          <w:p w14:paraId="0D5175C1" w14:textId="77777777" w:rsidR="00F53E95" w:rsidRPr="00A86E43" w:rsidRDefault="00F53E95" w:rsidP="00F53E95">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1275" w:type="dxa"/>
            <w:vAlign w:val="center"/>
          </w:tcPr>
          <w:p w14:paraId="091F25D6"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TYPES DE MONTANT</w:t>
            </w:r>
          </w:p>
        </w:tc>
        <w:tc>
          <w:tcPr>
            <w:tcW w:w="3544" w:type="dxa"/>
            <w:vAlign w:val="center"/>
          </w:tcPr>
          <w:p w14:paraId="0AFB497A"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53E95" w:rsidRPr="00A86E43" w14:paraId="5D2BA9CC" w14:textId="77777777" w:rsidTr="00300A13">
        <w:tc>
          <w:tcPr>
            <w:tcW w:w="5104" w:type="dxa"/>
            <w:vAlign w:val="center"/>
          </w:tcPr>
          <w:p w14:paraId="6C90E1C0" w14:textId="7FBF08C7" w:rsidR="00F53E95" w:rsidRPr="00A86E43" w:rsidRDefault="00357FFD" w:rsidP="00357FFD">
            <w:pPr>
              <w:pStyle w:val="v"/>
              <w:widowControl w:val="0"/>
              <w:spacing w:before="60" w:after="60"/>
              <w:ind w:left="0" w:firstLine="0"/>
              <w:rPr>
                <w:rFonts w:asciiTheme="minorHAnsi" w:hAnsiTheme="minorHAnsi" w:cstheme="minorHAnsi"/>
                <w:szCs w:val="22"/>
                <w:highlight w:val="yellow"/>
              </w:rPr>
            </w:pPr>
            <w:r>
              <w:rPr>
                <w:rFonts w:ascii="Calibri" w:eastAsia="Arial Unicode MS" w:hAnsi="Calibri" w:cs="Arial Unicode MS"/>
                <w:szCs w:val="22"/>
                <w:lang w:eastAsia="en-US"/>
              </w:rPr>
              <w:t xml:space="preserve">Acquisition et livraison de semences et matériel agricole aux CRDE </w:t>
            </w:r>
            <w:r>
              <w:rPr>
                <w:rFonts w:ascii="Calibri" w:hAnsi="Calibri"/>
                <w:szCs w:val="22"/>
              </w:rPr>
              <w:t>de Bambao Mtsanga, Domoni et Mrémani à Anjouan et les CRDE de Séréhini et Dzahadjou à la Grande Comore</w:t>
            </w:r>
          </w:p>
        </w:tc>
        <w:tc>
          <w:tcPr>
            <w:tcW w:w="1275" w:type="dxa"/>
          </w:tcPr>
          <w:p w14:paraId="0D3176E4"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3DAAD149"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192BF05" w14:textId="77777777" w:rsidTr="00300A13">
        <w:tc>
          <w:tcPr>
            <w:tcW w:w="5104" w:type="dxa"/>
            <w:tcBorders>
              <w:left w:val="nil"/>
              <w:right w:val="nil"/>
            </w:tcBorders>
            <w:vAlign w:val="center"/>
          </w:tcPr>
          <w:p w14:paraId="6F1DCD80" w14:textId="77777777" w:rsidR="00F53E95" w:rsidRPr="00A86E43"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1275" w:type="dxa"/>
            <w:tcBorders>
              <w:left w:val="nil"/>
              <w:right w:val="nil"/>
            </w:tcBorders>
            <w:vAlign w:val="center"/>
          </w:tcPr>
          <w:p w14:paraId="656191E5"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6B26FBB2"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A86E43" w14:paraId="30932CA7" w14:textId="77777777" w:rsidTr="00300A13">
        <w:tc>
          <w:tcPr>
            <w:tcW w:w="6379" w:type="dxa"/>
            <w:gridSpan w:val="2"/>
            <w:vAlign w:val="center"/>
          </w:tcPr>
          <w:p w14:paraId="05B6F744" w14:textId="77777777" w:rsidR="00F53E95" w:rsidRPr="00A86E43" w:rsidRDefault="00F53E95" w:rsidP="00F53E95">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p>
        </w:tc>
        <w:tc>
          <w:tcPr>
            <w:tcW w:w="3544" w:type="dxa"/>
            <w:vAlign w:val="center"/>
          </w:tcPr>
          <w:p w14:paraId="5738940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lastRenderedPageBreak/>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0F90FA4C" w14:textId="16D5C126"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300A13">
        <w:rPr>
          <w:rFonts w:asciiTheme="minorHAnsi" w:hAnsiTheme="minorHAnsi" w:cstheme="minorHAnsi"/>
          <w:szCs w:val="22"/>
        </w:rPr>
        <w:t xml:space="preserve">20% pourra être </w:t>
      </w:r>
      <w:r w:rsidRPr="00A86E43">
        <w:rPr>
          <w:rFonts w:asciiTheme="minorHAnsi" w:hAnsiTheme="minorHAnsi" w:cstheme="minorHAnsi"/>
          <w:szCs w:val="22"/>
        </w:rPr>
        <w:t xml:space="preserve">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5A77156D"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Des a</w:t>
      </w:r>
      <w:r w:rsidR="00357FFD">
        <w:rPr>
          <w:rFonts w:asciiTheme="minorHAnsi" w:hAnsiTheme="minorHAnsi" w:cs="Arial"/>
          <w:szCs w:val="22"/>
        </w:rPr>
        <w:t>comptes périodiques</w:t>
      </w:r>
      <w:r w:rsidRPr="00A86E43">
        <w:rPr>
          <w:rFonts w:asciiTheme="minorHAnsi" w:hAnsiTheme="minorHAnsi" w:cs="Arial"/>
          <w:szCs w:val="22"/>
        </w:rPr>
        <w:t xml:space="preserve">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7A59C770"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357FFD">
        <w:rPr>
          <w:rFonts w:asciiTheme="minorHAnsi" w:hAnsiTheme="minorHAnsi" w:cs="Arial"/>
          <w:szCs w:val="22"/>
        </w:rPr>
        <w:t xml:space="preserve"> du contrat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montant de l’indemnité forfaitaire pour frais de recouvrement est fixé à quarante (40) euros et sera versé systématiquement en sus des intérêts moratoires. Les intérêts d'un montant inférieur à 40€ ne </w:t>
      </w:r>
      <w:r w:rsidRPr="00A86E43">
        <w:rPr>
          <w:rFonts w:asciiTheme="minorHAnsi" w:hAnsiTheme="minorHAnsi" w:cs="Arial"/>
        </w:rPr>
        <w:lastRenderedPageBreak/>
        <w:t>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7EF50DEC" w14:textId="77777777" w:rsidR="00FB3EC6" w:rsidRPr="00FB3EC6" w:rsidRDefault="00FB3EC6" w:rsidP="00FB3EC6">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bookmarkStart w:id="25" w:name="_Toc126921984"/>
      <w:bookmarkStart w:id="26" w:name="_Toc344300189"/>
      <w:bookmarkEnd w:id="20"/>
      <w:r w:rsidRPr="00FB3EC6">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A2421E2"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FB3EC6">
        <w:rPr>
          <w:rFonts w:asciiTheme="minorHAnsi" w:eastAsia="Times New Roman" w:hAnsiTheme="minorHAnsi" w:cs="Arial"/>
          <w:sz w:val="22"/>
        </w:rPr>
        <w:t>La raison sociale, l’adresse, le siège social du titulaire,</w:t>
      </w:r>
    </w:p>
    <w:p w14:paraId="77348AFA"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FB3EC6">
        <w:rPr>
          <w:rFonts w:asciiTheme="minorHAnsi" w:eastAsia="Times New Roman" w:hAnsiTheme="minorHAnsi" w:cs="Arial"/>
          <w:sz w:val="22"/>
        </w:rPr>
        <w:t xml:space="preserve">Le numéro d’immatriculation au registre du commerce du titulaire (SIRET ou équivalent), </w:t>
      </w:r>
    </w:p>
    <w:p w14:paraId="35C49BA5"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FB3EC6">
        <w:rPr>
          <w:rFonts w:asciiTheme="minorHAnsi" w:eastAsia="Times New Roman" w:hAnsiTheme="minorHAnsi" w:cs="Arial"/>
          <w:sz w:val="22"/>
        </w:rPr>
        <w:t>La  référence du compte bancaire,</w:t>
      </w:r>
    </w:p>
    <w:p w14:paraId="5293E879"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FB3EC6">
        <w:rPr>
          <w:rFonts w:asciiTheme="minorHAnsi" w:eastAsia="Times New Roman" w:hAnsiTheme="minorHAnsi" w:cs="Arial"/>
          <w:sz w:val="22"/>
        </w:rPr>
        <w:t xml:space="preserve">Le code du service correspondant au département prescripteur (indiqué à l’article </w:t>
      </w:r>
      <w:r w:rsidRPr="00FB3EC6">
        <w:rPr>
          <w:rFonts w:asciiTheme="minorHAnsi" w:eastAsia="Times New Roman" w:hAnsiTheme="minorHAnsi" w:cs="Arial"/>
          <w:sz w:val="22"/>
        </w:rPr>
        <w:fldChar w:fldCharType="begin"/>
      </w:r>
      <w:r w:rsidRPr="00FB3EC6">
        <w:rPr>
          <w:rFonts w:asciiTheme="minorHAnsi" w:eastAsia="Times New Roman" w:hAnsiTheme="minorHAnsi" w:cs="Arial"/>
          <w:sz w:val="22"/>
        </w:rPr>
        <w:instrText xml:space="preserve"> REF _Ref464060009 \h  \* MERGEFORMAT </w:instrText>
      </w:r>
      <w:r w:rsidRPr="00FB3EC6">
        <w:rPr>
          <w:rFonts w:asciiTheme="minorHAnsi" w:eastAsia="Times New Roman" w:hAnsiTheme="minorHAnsi" w:cs="Arial"/>
          <w:sz w:val="22"/>
        </w:rPr>
      </w:r>
      <w:r w:rsidRPr="00FB3EC6">
        <w:rPr>
          <w:rFonts w:asciiTheme="minorHAnsi" w:eastAsia="Times New Roman" w:hAnsiTheme="minorHAnsi" w:cs="Arial"/>
          <w:sz w:val="22"/>
        </w:rPr>
        <w:fldChar w:fldCharType="separate"/>
      </w:r>
      <w:r w:rsidRPr="00FB3EC6">
        <w:rPr>
          <w:rFonts w:asciiTheme="minorHAnsi" w:eastAsia="Times New Roman" w:hAnsiTheme="minorHAnsi" w:cs="Arial"/>
          <w:sz w:val="22"/>
        </w:rPr>
        <w:t>Point de contact et communication</w:t>
      </w:r>
      <w:r w:rsidRPr="00FB3EC6">
        <w:rPr>
          <w:rFonts w:asciiTheme="minorHAnsi" w:eastAsia="Times New Roman" w:hAnsiTheme="minorHAnsi" w:cs="Arial"/>
          <w:sz w:val="22"/>
        </w:rPr>
        <w:fldChar w:fldCharType="end"/>
      </w:r>
      <w:r w:rsidRPr="00FB3EC6">
        <w:rPr>
          <w:rFonts w:asciiTheme="minorHAnsi" w:eastAsia="Times New Roman" w:hAnsiTheme="minorHAnsi" w:cs="Arial"/>
          <w:sz w:val="22"/>
        </w:rPr>
        <w:t>),</w:t>
      </w:r>
    </w:p>
    <w:p w14:paraId="0F4A5A81"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La référence du présent marché,</w:t>
      </w:r>
    </w:p>
    <w:p w14:paraId="327EB399"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 xml:space="preserve">La référence et l’intitulé du projet de coopération concerné (le cas échéant) </w:t>
      </w:r>
    </w:p>
    <w:p w14:paraId="41BCB8EB"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La dénomination claire et précise des matériels et/ou  fournitures vendues, et/ou des prestations effectuées...</w:t>
      </w:r>
    </w:p>
    <w:p w14:paraId="000EDC07" w14:textId="77777777" w:rsidR="00FB3EC6" w:rsidRPr="00FB3EC6" w:rsidRDefault="00FB3EC6" w:rsidP="00FB3EC6">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551BA50D" w14:textId="77777777" w:rsidR="00FB3EC6" w:rsidRPr="00FB3EC6" w:rsidRDefault="00FB3EC6" w:rsidP="00FB3EC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 xml:space="preserve">Les factures sont déposées à l’adresse </w:t>
      </w:r>
      <w:hyperlink r:id="rId17" w:history="1">
        <w:r w:rsidRPr="00FB3EC6">
          <w:rPr>
            <w:rFonts w:asciiTheme="minorHAnsi" w:eastAsia="Times New Roman" w:hAnsiTheme="minorHAnsi" w:cstheme="minorHAnsi"/>
            <w:color w:val="0000FF"/>
            <w:sz w:val="22"/>
            <w:u w:val="single"/>
          </w:rPr>
          <w:t>facturation.comores@expertisefrance.f</w:t>
        </w:r>
      </w:hyperlink>
      <w:r w:rsidRPr="00FB3EC6">
        <w:rPr>
          <w:rFonts w:asciiTheme="minorHAnsi" w:eastAsia="Times New Roman" w:hAnsiTheme="minorHAnsi" w:cstheme="minorHAnsi"/>
          <w:sz w:val="22"/>
        </w:rPr>
        <w:t>, et mentionne obligatoirement le code service référencé ci-dessus, correspondant au département d’</w:t>
      </w:r>
      <w:r w:rsidRPr="00FB3EC6">
        <w:rPr>
          <w:rFonts w:asciiTheme="minorHAnsi" w:eastAsia="Times New Roman" w:hAnsiTheme="minorHAnsi" w:cstheme="minorHAnsi"/>
          <w:smallCaps/>
          <w:sz w:val="22"/>
          <w:szCs w:val="22"/>
        </w:rPr>
        <w:t>Expertise France</w:t>
      </w:r>
      <w:r w:rsidRPr="00FB3EC6">
        <w:rPr>
          <w:rFonts w:asciiTheme="minorHAnsi" w:eastAsia="Times New Roman" w:hAnsiTheme="minorHAnsi" w:cstheme="minorHAnsi"/>
          <w:sz w:val="22"/>
        </w:rPr>
        <w:t xml:space="preserve"> pour le compte duquel est passé le contrat.</w:t>
      </w:r>
    </w:p>
    <w:p w14:paraId="2097B985" w14:textId="77777777" w:rsidR="00FB3EC6" w:rsidRPr="00FB3EC6" w:rsidRDefault="00FB3EC6" w:rsidP="00FB3EC6">
      <w:pPr>
        <w:widowControl w:val="0"/>
        <w:numPr>
          <w:ilvl w:val="12"/>
          <w:numId w:val="50"/>
        </w:numPr>
        <w:overflowPunct w:val="0"/>
        <w:autoSpaceDE w:val="0"/>
        <w:autoSpaceDN w:val="0"/>
        <w:adjustRightInd w:val="0"/>
        <w:spacing w:after="120" w:line="240" w:lineRule="auto"/>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ab/>
        <w:t>Le CONTRACTANT mettra en copie, à l’envoi de sa facture à l’adresse désignée ci-dessus, l’adresse du point de contact désigné à l’article « Point de contact et communication.</w:t>
      </w:r>
    </w:p>
    <w:p w14:paraId="77B4E39A" w14:textId="77777777" w:rsidR="00FB3EC6" w:rsidRPr="00FB3EC6" w:rsidRDefault="00FB3EC6" w:rsidP="00FB3EC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 xml:space="preserve">Les factures d’acompte seront accompagnées des justificatifs correspondants validés par </w:t>
      </w:r>
      <w:r w:rsidRPr="00FB3EC6">
        <w:rPr>
          <w:rFonts w:asciiTheme="minorHAnsi" w:eastAsia="Times New Roman" w:hAnsiTheme="minorHAnsi" w:cstheme="minorHAnsi"/>
          <w:smallCaps/>
          <w:sz w:val="22"/>
        </w:rPr>
        <w:t>Expertise France</w:t>
      </w:r>
      <w:r w:rsidRPr="00FB3EC6">
        <w:rPr>
          <w:rFonts w:asciiTheme="minorHAnsi" w:eastAsia="Times New Roman" w:hAnsiTheme="minorHAnsi" w:cstheme="minorHAnsi"/>
          <w:sz w:val="22"/>
        </w:rPr>
        <w:t>.</w:t>
      </w:r>
    </w:p>
    <w:p w14:paraId="718C854D" w14:textId="77777777" w:rsidR="00FB3EC6" w:rsidRPr="00FB3EC6" w:rsidRDefault="00FB3EC6" w:rsidP="00FB3EC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 xml:space="preserve">Les factures de solde (paiement partiel définitif) seront accompagnées de la copie de la décision de réception des prestations et/ou des fournitures correspondantes. </w:t>
      </w:r>
    </w:p>
    <w:p w14:paraId="36E2CCA4" w14:textId="77777777" w:rsidR="00FB3EC6" w:rsidRPr="00FB3EC6" w:rsidRDefault="00FB3EC6" w:rsidP="00FB3EC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z w:val="22"/>
        </w:rPr>
      </w:pPr>
      <w:r w:rsidRPr="00FB3EC6">
        <w:rPr>
          <w:rFonts w:asciiTheme="minorHAnsi" w:eastAsia="Times New Roman" w:hAnsiTheme="minorHAnsi" w:cstheme="minorHAnsi"/>
          <w:sz w:val="22"/>
        </w:rPr>
        <w:t>Toute pièce manquante empêchera les paiements.</w:t>
      </w:r>
    </w:p>
    <w:p w14:paraId="35D1782F" w14:textId="77777777" w:rsidR="00FB3EC6" w:rsidRPr="00FB3EC6" w:rsidRDefault="00FB3EC6" w:rsidP="00FB3EC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z w:val="22"/>
        </w:rPr>
      </w:pP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03EA08D2"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44610514" w14:textId="77777777" w:rsidR="00B26C7B" w:rsidRPr="00A86E43" w:rsidRDefault="00B26C7B" w:rsidP="00A1761D">
      <w:pPr>
        <w:pStyle w:val="u"/>
        <w:widowControl w:val="0"/>
        <w:numPr>
          <w:ilvl w:val="12"/>
          <w:numId w:val="0"/>
        </w:numPr>
        <w:spacing w:after="120"/>
        <w:ind w:left="561"/>
        <w:rPr>
          <w:rFonts w:asciiTheme="minorHAnsi" w:hAnsiTheme="minorHAnsi" w:cs="Arial"/>
          <w:szCs w:val="22"/>
        </w:rPr>
      </w:pP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lastRenderedPageBreak/>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1B22F4BC" w14:textId="77777777" w:rsidR="00B26C7B" w:rsidRPr="00B26C7B" w:rsidRDefault="00B26C7B" w:rsidP="00B26C7B">
      <w:pPr>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Les opérations de vérification des prestations et des fournitures seront effectuées conformément au chapitre 5 du CCAG-FCS/PI/TIC. Par dérogation à l’article 28 du CCAG-FCS/TIC/PI, les opérations de vérification seront effectuées par :</w:t>
      </w:r>
    </w:p>
    <w:p w14:paraId="2713807A" w14:textId="77777777" w:rsidR="00B26C7B" w:rsidRPr="00B26C7B" w:rsidRDefault="00B26C7B" w:rsidP="00B26C7B">
      <w:pPr>
        <w:jc w:val="both"/>
        <w:rPr>
          <w:rFonts w:asciiTheme="minorHAnsi" w:eastAsia="Times New Roman" w:hAnsiTheme="minorHAnsi" w:cstheme="minorHAnsi"/>
          <w:sz w:val="22"/>
          <w:szCs w:val="22"/>
        </w:rPr>
      </w:pPr>
    </w:p>
    <w:p w14:paraId="32349A4B" w14:textId="77777777" w:rsidR="00B26C7B" w:rsidRPr="00B26C7B" w:rsidRDefault="00B26C7B" w:rsidP="00B26C7B">
      <w:pPr>
        <w:numPr>
          <w:ilvl w:val="0"/>
          <w:numId w:val="68"/>
        </w:numPr>
        <w:jc w:val="both"/>
        <w:rPr>
          <w:rFonts w:asciiTheme="minorHAnsi" w:eastAsia="Times New Roman" w:hAnsiTheme="minorHAnsi" w:cstheme="minorHAnsi"/>
          <w:sz w:val="22"/>
          <w:szCs w:val="22"/>
        </w:rPr>
      </w:pPr>
      <w:bookmarkStart w:id="34" w:name="_Toc390691470"/>
      <w:bookmarkStart w:id="35" w:name="_Toc392669641"/>
      <w:bookmarkStart w:id="36" w:name="_Toc126921989"/>
      <w:r w:rsidRPr="00B26C7B">
        <w:rPr>
          <w:rFonts w:asciiTheme="minorHAnsi" w:eastAsia="Times New Roman" w:hAnsiTheme="minorHAnsi" w:cstheme="minorHAnsi"/>
          <w:sz w:val="22"/>
          <w:szCs w:val="22"/>
        </w:rPr>
        <w:t xml:space="preserve">Abdoul Kader ADAMOU, Chef de projet AFIDEV </w:t>
      </w:r>
      <w:hyperlink r:id="rId18" w:history="1">
        <w:r w:rsidRPr="00B26C7B">
          <w:rPr>
            <w:rStyle w:val="Lienhypertexte"/>
            <w:rFonts w:asciiTheme="minorHAnsi" w:eastAsia="Times New Roman" w:hAnsiTheme="minorHAnsi" w:cstheme="minorHAnsi"/>
            <w:sz w:val="22"/>
            <w:szCs w:val="22"/>
          </w:rPr>
          <w:t>abdoul-kader.adamou@expertisefrance.fr</w:t>
        </w:r>
      </w:hyperlink>
    </w:p>
    <w:p w14:paraId="270FFE26" w14:textId="1852F41A" w:rsidR="00B26C7B" w:rsidRDefault="00B26C7B" w:rsidP="00B26C7B">
      <w:pPr>
        <w:numPr>
          <w:ilvl w:val="0"/>
          <w:numId w:val="68"/>
        </w:numPr>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 xml:space="preserve">Mohamed Dossar, Référent technique Génie Rural du projet AFIDEV </w:t>
      </w:r>
      <w:hyperlink r:id="rId19" w:history="1">
        <w:r w:rsidRPr="00B26C7B">
          <w:rPr>
            <w:rStyle w:val="Lienhypertexte"/>
            <w:rFonts w:asciiTheme="minorHAnsi" w:eastAsia="Times New Roman" w:hAnsiTheme="minorHAnsi" w:cstheme="minorHAnsi"/>
            <w:sz w:val="22"/>
            <w:szCs w:val="22"/>
          </w:rPr>
          <w:t>mohamed.bacar-dossar@expertisefrance.fr</w:t>
        </w:r>
      </w:hyperlink>
    </w:p>
    <w:p w14:paraId="416B4BD5" w14:textId="77777777" w:rsidR="00B26C7B" w:rsidRPr="00B26C7B" w:rsidRDefault="00B26C7B" w:rsidP="00B26C7B">
      <w:pPr>
        <w:ind w:left="720"/>
        <w:jc w:val="both"/>
        <w:rPr>
          <w:rFonts w:asciiTheme="minorHAnsi" w:eastAsia="Times New Roman" w:hAnsiTheme="minorHAnsi" w:cstheme="minorHAnsi"/>
          <w:sz w:val="22"/>
          <w:szCs w:val="22"/>
        </w:rPr>
      </w:pPr>
    </w:p>
    <w:p w14:paraId="2B95B58C" w14:textId="77777777" w:rsidR="00B26C7B" w:rsidRPr="00B26C7B" w:rsidRDefault="00B26C7B" w:rsidP="00B26C7B">
      <w:pPr>
        <w:jc w:val="both"/>
        <w:rPr>
          <w:rFonts w:asciiTheme="minorHAnsi" w:eastAsia="Times New Roman" w:hAnsiTheme="minorHAnsi" w:cstheme="minorHAnsi"/>
          <w:b/>
          <w:bCs/>
          <w:sz w:val="22"/>
          <w:szCs w:val="22"/>
        </w:rPr>
      </w:pPr>
      <w:r w:rsidRPr="00B26C7B">
        <w:rPr>
          <w:rFonts w:asciiTheme="minorHAnsi" w:eastAsia="Times New Roman" w:hAnsiTheme="minorHAnsi" w:cstheme="minorHAnsi"/>
          <w:b/>
          <w:bCs/>
          <w:sz w:val="22"/>
          <w:szCs w:val="22"/>
        </w:rPr>
        <w:t>Admission</w:t>
      </w:r>
      <w:bookmarkEnd w:id="34"/>
      <w:r w:rsidRPr="00B26C7B">
        <w:rPr>
          <w:rFonts w:asciiTheme="minorHAnsi" w:eastAsia="Times New Roman" w:hAnsiTheme="minorHAnsi" w:cstheme="minorHAnsi"/>
          <w:b/>
          <w:bCs/>
          <w:sz w:val="22"/>
          <w:szCs w:val="22"/>
        </w:rPr>
        <w:t xml:space="preserve"> des prestation</w:t>
      </w:r>
      <w:bookmarkEnd w:id="35"/>
      <w:r w:rsidRPr="00B26C7B">
        <w:rPr>
          <w:rFonts w:asciiTheme="minorHAnsi" w:eastAsia="Times New Roman" w:hAnsiTheme="minorHAnsi" w:cstheme="minorHAnsi"/>
          <w:b/>
          <w:bCs/>
          <w:sz w:val="22"/>
          <w:szCs w:val="22"/>
        </w:rPr>
        <w:t>s et des fournitures</w:t>
      </w:r>
      <w:bookmarkEnd w:id="36"/>
    </w:p>
    <w:p w14:paraId="2962891D" w14:textId="77777777" w:rsidR="00B26C7B" w:rsidRPr="00B26C7B" w:rsidRDefault="00B26C7B" w:rsidP="00B26C7B">
      <w:pPr>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Par dérogation à l’article 30 du CCAG-FCS/TIC/PI, les décisions d’admission des prestations et des fournitures pourront être prononcées par :</w:t>
      </w:r>
    </w:p>
    <w:p w14:paraId="4432DB6D" w14:textId="77777777" w:rsidR="00B26C7B" w:rsidRPr="00B26C7B" w:rsidRDefault="00B26C7B" w:rsidP="00B26C7B">
      <w:pPr>
        <w:numPr>
          <w:ilvl w:val="0"/>
          <w:numId w:val="69"/>
        </w:numPr>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 xml:space="preserve">Abdoul Kader ADAMOU, Chef de projet AFIDEV : </w:t>
      </w:r>
      <w:hyperlink r:id="rId20" w:history="1">
        <w:r w:rsidRPr="00B26C7B">
          <w:rPr>
            <w:rStyle w:val="Lienhypertexte"/>
            <w:rFonts w:asciiTheme="minorHAnsi" w:eastAsia="Times New Roman" w:hAnsiTheme="minorHAnsi" w:cstheme="minorHAnsi"/>
            <w:sz w:val="22"/>
            <w:szCs w:val="22"/>
          </w:rPr>
          <w:t>abdoul-kader.adamou@expertisefrance.fr</w:t>
        </w:r>
      </w:hyperlink>
    </w:p>
    <w:p w14:paraId="6E18BFC8" w14:textId="77777777" w:rsidR="00B26C7B" w:rsidRPr="00B26C7B" w:rsidRDefault="00B26C7B" w:rsidP="00B26C7B">
      <w:pPr>
        <w:numPr>
          <w:ilvl w:val="0"/>
          <w:numId w:val="69"/>
        </w:numPr>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 xml:space="preserve">Mohamed Dossar, Référent technique Génie Rural du projet AFIDEV : </w:t>
      </w:r>
      <w:hyperlink r:id="rId21" w:history="1">
        <w:r w:rsidRPr="00B26C7B">
          <w:rPr>
            <w:rStyle w:val="Lienhypertexte"/>
            <w:rFonts w:asciiTheme="minorHAnsi" w:eastAsia="Times New Roman" w:hAnsiTheme="minorHAnsi" w:cstheme="minorHAnsi"/>
            <w:sz w:val="22"/>
            <w:szCs w:val="22"/>
          </w:rPr>
          <w:t>mohamed.bacar-dossar@expertisefrance.fr</w:t>
        </w:r>
      </w:hyperlink>
    </w:p>
    <w:p w14:paraId="46825E08" w14:textId="77777777" w:rsidR="00B26C7B" w:rsidRPr="00B26C7B" w:rsidRDefault="00B26C7B" w:rsidP="00B26C7B">
      <w:pPr>
        <w:jc w:val="both"/>
        <w:rPr>
          <w:rFonts w:asciiTheme="minorHAnsi" w:eastAsia="Times New Roman" w:hAnsiTheme="minorHAnsi" w:cstheme="minorHAnsi"/>
          <w:sz w:val="22"/>
          <w:szCs w:val="22"/>
        </w:rPr>
      </w:pPr>
    </w:p>
    <w:p w14:paraId="3D6F3473" w14:textId="77777777" w:rsidR="00BE055A" w:rsidRDefault="00F766D6" w:rsidP="0077662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20C1276A" w:rsidR="000A6914"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p w14:paraId="5475B775" w14:textId="77777777" w:rsidR="00776626" w:rsidRPr="00335D0F" w:rsidRDefault="00776626" w:rsidP="00776626">
      <w:pPr>
        <w:spacing w:before="240"/>
        <w:jc w:val="both"/>
        <w:rPr>
          <w:rFonts w:ascii="Calibri" w:eastAsia="Arial Unicode MS" w:hAnsi="Calibri" w:cs="Arial Unicode MS"/>
          <w:sz w:val="22"/>
          <w:szCs w:val="22"/>
          <w:lang w:eastAsia="en-US"/>
        </w:rPr>
      </w:pPr>
      <w:r w:rsidRPr="00335D0F">
        <w:rPr>
          <w:rFonts w:ascii="Calibri" w:eastAsia="Arial Unicode MS" w:hAnsi="Calibri" w:cs="Arial Unicode MS"/>
          <w:sz w:val="22"/>
          <w:szCs w:val="22"/>
          <w:lang w:eastAsia="en-US"/>
        </w:rPr>
        <w:t>Les livrables attendus sont listés dans le tableau ci-dessous.</w:t>
      </w:r>
    </w:p>
    <w:p w14:paraId="430BF013" w14:textId="77777777" w:rsidR="00776626" w:rsidRPr="00335D0F" w:rsidRDefault="00776626" w:rsidP="00776626">
      <w:pPr>
        <w:jc w:val="both"/>
        <w:rPr>
          <w:rFonts w:ascii="Calibri" w:eastAsia="Arial Unicode MS" w:hAnsi="Calibri" w:cs="Arial Unicode MS"/>
          <w:b/>
          <w:sz w:val="22"/>
          <w:szCs w:val="22"/>
          <w:lang w:eastAsia="en-US"/>
        </w:rPr>
      </w:pPr>
    </w:p>
    <w:tbl>
      <w:tblPr>
        <w:tblStyle w:val="Grilledutableau"/>
        <w:tblW w:w="0" w:type="auto"/>
        <w:tblInd w:w="250" w:type="dxa"/>
        <w:tblLook w:val="04A0" w:firstRow="1" w:lastRow="0" w:firstColumn="1" w:lastColumn="0" w:noHBand="0" w:noVBand="1"/>
      </w:tblPr>
      <w:tblGrid>
        <w:gridCol w:w="6975"/>
        <w:gridCol w:w="1837"/>
      </w:tblGrid>
      <w:tr w:rsidR="00776626" w:rsidRPr="00335D0F" w14:paraId="3263A103" w14:textId="77777777" w:rsidTr="00DE3F48">
        <w:tc>
          <w:tcPr>
            <w:tcW w:w="6975" w:type="dxa"/>
          </w:tcPr>
          <w:p w14:paraId="3C05EA4F" w14:textId="77777777" w:rsidR="00776626" w:rsidRPr="006B7A02" w:rsidRDefault="00776626" w:rsidP="00DE3F48">
            <w:pPr>
              <w:jc w:val="both"/>
              <w:rPr>
                <w:rFonts w:asciiTheme="minorHAnsi" w:eastAsia="Arial Unicode MS" w:hAnsiTheme="minorHAnsi" w:cstheme="minorHAnsi"/>
                <w:b/>
                <w:sz w:val="22"/>
                <w:szCs w:val="22"/>
                <w:lang w:eastAsia="en-US"/>
              </w:rPr>
            </w:pPr>
            <w:r w:rsidRPr="006B7A02">
              <w:rPr>
                <w:rFonts w:asciiTheme="minorHAnsi" w:eastAsia="Arial Unicode MS" w:hAnsiTheme="minorHAnsi" w:cstheme="minorHAnsi"/>
                <w:b/>
                <w:sz w:val="22"/>
                <w:szCs w:val="22"/>
                <w:lang w:eastAsia="en-US"/>
              </w:rPr>
              <w:t>Livrables</w:t>
            </w:r>
          </w:p>
        </w:tc>
        <w:tc>
          <w:tcPr>
            <w:tcW w:w="1837" w:type="dxa"/>
          </w:tcPr>
          <w:p w14:paraId="49FAB7A2" w14:textId="77777777" w:rsidR="00776626" w:rsidRPr="006B7A02" w:rsidRDefault="00776626" w:rsidP="00DE3F48">
            <w:pPr>
              <w:jc w:val="both"/>
              <w:rPr>
                <w:rFonts w:asciiTheme="minorHAnsi" w:eastAsia="Arial Unicode MS" w:hAnsiTheme="minorHAnsi" w:cstheme="minorHAnsi"/>
                <w:b/>
                <w:sz w:val="22"/>
                <w:szCs w:val="22"/>
                <w:lang w:eastAsia="en-US"/>
              </w:rPr>
            </w:pPr>
            <w:r w:rsidRPr="006B7A02">
              <w:rPr>
                <w:rFonts w:asciiTheme="minorHAnsi" w:eastAsia="Arial Unicode MS" w:hAnsiTheme="minorHAnsi" w:cstheme="minorHAnsi"/>
                <w:b/>
                <w:sz w:val="22"/>
                <w:szCs w:val="22"/>
                <w:lang w:eastAsia="en-US"/>
              </w:rPr>
              <w:t>Date de livraison</w:t>
            </w:r>
          </w:p>
        </w:tc>
      </w:tr>
      <w:tr w:rsidR="00776626" w:rsidRPr="00335D0F" w14:paraId="3F3C63F8" w14:textId="77777777" w:rsidTr="00DE3F48">
        <w:tc>
          <w:tcPr>
            <w:tcW w:w="6975" w:type="dxa"/>
          </w:tcPr>
          <w:p w14:paraId="3C008778" w14:textId="77777777" w:rsidR="00776626" w:rsidRPr="006B7A02" w:rsidRDefault="00776626" w:rsidP="00776626">
            <w:pPr>
              <w:pStyle w:val="Paragraphedeliste"/>
              <w:numPr>
                <w:ilvl w:val="0"/>
                <w:numId w:val="67"/>
              </w:numPr>
              <w:spacing w:line="240" w:lineRule="auto"/>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 xml:space="preserve">Acquisition et livraison de semences et matériel agricole aux CRDE </w:t>
            </w:r>
            <w:r w:rsidRPr="006B7A02">
              <w:rPr>
                <w:rFonts w:asciiTheme="minorHAnsi" w:hAnsiTheme="minorHAnsi" w:cstheme="minorHAnsi"/>
                <w:sz w:val="22"/>
                <w:szCs w:val="22"/>
              </w:rPr>
              <w:t>de Bambao Mtsanga, Domoni et Mrémani à Anjouan et les CRDE de Séréhini et Dzahadjou à la Grande Comore</w:t>
            </w:r>
          </w:p>
        </w:tc>
        <w:tc>
          <w:tcPr>
            <w:tcW w:w="1837" w:type="dxa"/>
          </w:tcPr>
          <w:p w14:paraId="7B59CDE2" w14:textId="77777777" w:rsidR="00776626" w:rsidRPr="006B7A02" w:rsidRDefault="00776626" w:rsidP="00DE3F48">
            <w:pPr>
              <w:jc w:val="both"/>
              <w:rPr>
                <w:rFonts w:asciiTheme="minorHAnsi" w:eastAsia="Arial Unicode MS" w:hAnsiTheme="minorHAnsi" w:cstheme="minorHAnsi"/>
                <w:sz w:val="22"/>
                <w:szCs w:val="22"/>
                <w:lang w:eastAsia="en-US"/>
              </w:rPr>
            </w:pPr>
            <w:r w:rsidRPr="006B7A02">
              <w:rPr>
                <w:rFonts w:asciiTheme="minorHAnsi" w:eastAsia="Arial Unicode MS" w:hAnsiTheme="minorHAnsi" w:cstheme="minorHAnsi"/>
                <w:sz w:val="22"/>
                <w:szCs w:val="22"/>
                <w:lang w:eastAsia="en-US"/>
              </w:rPr>
              <w:t>T0 + 60 jours</w:t>
            </w:r>
          </w:p>
        </w:tc>
      </w:tr>
    </w:tbl>
    <w:p w14:paraId="6707366B" w14:textId="77777777" w:rsidR="00776626" w:rsidRPr="00776626" w:rsidRDefault="00776626" w:rsidP="00776626">
      <w:bookmarkStart w:id="40" w:name="_Toc392669644"/>
      <w:bookmarkEnd w:id="39"/>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1" w:name="_Toc126921993"/>
      <w:r w:rsidRPr="00A86E43">
        <w:rPr>
          <w:rFonts w:asciiTheme="minorHAnsi" w:hAnsiTheme="minorHAnsi" w:cstheme="minorHAnsi"/>
          <w:sz w:val="22"/>
          <w:szCs w:val="22"/>
        </w:rPr>
        <w:t>Lieu d’exécution</w:t>
      </w:r>
      <w:bookmarkEnd w:id="40"/>
      <w:bookmarkEnd w:id="41"/>
    </w:p>
    <w:p w14:paraId="211EA0ED" w14:textId="772D29F4" w:rsidR="00E25D2D" w:rsidRPr="00A86E43" w:rsidRDefault="00776626"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Les fournitures seront livrées à ANJOUAN et à NGAZIDJA </w:t>
      </w:r>
      <w:r w:rsidRPr="00A86E43">
        <w:rPr>
          <w:rFonts w:asciiTheme="minorHAnsi" w:hAnsiTheme="minorHAnsi" w:cstheme="minorHAnsi"/>
          <w:szCs w:val="22"/>
        </w:rPr>
        <w:t>UNION</w:t>
      </w:r>
      <w:r>
        <w:rPr>
          <w:rFonts w:asciiTheme="minorHAnsi" w:hAnsiTheme="minorHAnsi" w:cstheme="minorHAnsi"/>
          <w:szCs w:val="22"/>
        </w:rPr>
        <w:t xml:space="preserve"> DES COMORES</w:t>
      </w:r>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42" w:name="_Toc126921994"/>
      <w:r w:rsidRPr="00A86E43">
        <w:rPr>
          <w:rFonts w:asciiTheme="minorHAnsi" w:hAnsiTheme="minorHAnsi" w:cstheme="minorHAnsi"/>
          <w:sz w:val="22"/>
          <w:szCs w:val="22"/>
        </w:rPr>
        <w:lastRenderedPageBreak/>
        <w:t>Livraison</w:t>
      </w:r>
      <w:bookmarkEnd w:id="42"/>
    </w:p>
    <w:p w14:paraId="2651D6A5" w14:textId="05D330B2" w:rsidR="00E4145C" w:rsidRPr="00A86E43" w:rsidRDefault="00E4145C" w:rsidP="00A1761D">
      <w:pPr>
        <w:ind w:firstLine="556"/>
        <w:jc w:val="both"/>
        <w:rPr>
          <w:rFonts w:asciiTheme="minorHAnsi" w:hAnsiTheme="minorHAnsi" w:cstheme="minorHAnsi"/>
          <w:sz w:val="22"/>
          <w:szCs w:val="22"/>
        </w:rPr>
      </w:pPr>
      <w:r w:rsidRPr="00A86E43">
        <w:rPr>
          <w:rFonts w:asciiTheme="minorHAnsi" w:eastAsia="Times New Roman" w:hAnsiTheme="minorHAnsi" w:cstheme="minorHAnsi"/>
          <w:sz w:val="22"/>
          <w:szCs w:val="22"/>
        </w:rPr>
        <w:t xml:space="preserve">Les fournitures sont livrées </w:t>
      </w:r>
      <w:r w:rsidR="00B26C7B">
        <w:rPr>
          <w:rFonts w:asciiTheme="minorHAnsi" w:eastAsia="Times New Roman" w:hAnsiTheme="minorHAnsi" w:cstheme="minorHAnsi"/>
          <w:sz w:val="22"/>
          <w:szCs w:val="22"/>
        </w:rPr>
        <w:t>DDP.</w:t>
      </w:r>
    </w:p>
    <w:p w14:paraId="2CA4505C" w14:textId="3BC6C38D"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Pr="00B26C7B" w:rsidRDefault="00254863" w:rsidP="00254863">
      <w:pPr>
        <w:pStyle w:val="Titre2"/>
        <w:spacing w:before="120" w:after="60"/>
        <w:jc w:val="both"/>
        <w:rPr>
          <w:rFonts w:asciiTheme="minorHAnsi" w:hAnsiTheme="minorHAnsi" w:cstheme="minorHAnsi"/>
          <w:sz w:val="22"/>
          <w:szCs w:val="22"/>
        </w:rPr>
      </w:pPr>
      <w:bookmarkStart w:id="43" w:name="_Toc126921995"/>
      <w:r w:rsidRPr="00B26C7B">
        <w:rPr>
          <w:rFonts w:asciiTheme="minorHAnsi" w:hAnsiTheme="minorHAnsi" w:cstheme="minorHAnsi"/>
          <w:sz w:val="22"/>
          <w:szCs w:val="22"/>
        </w:rPr>
        <w:t>Contrôle des exports</w:t>
      </w:r>
      <w:bookmarkEnd w:id="43"/>
    </w:p>
    <w:p w14:paraId="655AB6C2" w14:textId="77777777" w:rsidR="00254863" w:rsidRPr="00B26C7B" w:rsidRDefault="00254863">
      <w:pPr>
        <w:ind w:left="567"/>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w:t>
      </w:r>
      <w:r w:rsidRPr="00B26C7B">
        <w:rPr>
          <w:rFonts w:asciiTheme="minorHAnsi" w:eastAsia="Times New Roman" w:hAnsiTheme="minorHAnsi" w:cstheme="minorHAnsi"/>
          <w:sz w:val="22"/>
          <w:szCs w:val="22"/>
        </w:rPr>
        <w:lastRenderedPageBreak/>
        <w:t xml:space="preserve">fourniture. Il s’engagera à informer l’Acheteur de tout changement réglementaire (classement/embargo) impactant les biens vendus. </w:t>
      </w:r>
    </w:p>
    <w:p w14:paraId="6422286F" w14:textId="5BF2882D" w:rsidR="00254863" w:rsidRPr="00B26C7B" w:rsidRDefault="00254863">
      <w:pPr>
        <w:ind w:left="567"/>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Option à inclure dans le cadre d’une passation de contrat avec un fournisseur français</w:t>
      </w:r>
    </w:p>
    <w:p w14:paraId="0D76231D" w14:textId="7D153B49" w:rsidR="00254863" w:rsidRDefault="00254863">
      <w:pPr>
        <w:ind w:left="567"/>
        <w:jc w:val="both"/>
        <w:rPr>
          <w:rFonts w:asciiTheme="minorHAnsi" w:eastAsia="Times New Roman" w:hAnsiTheme="minorHAnsi" w:cstheme="minorHAnsi"/>
          <w:sz w:val="22"/>
          <w:szCs w:val="22"/>
        </w:rPr>
      </w:pPr>
      <w:r w:rsidRPr="00B26C7B">
        <w:rPr>
          <w:rFonts w:asciiTheme="minorHAnsi" w:eastAsia="Times New Roman" w:hAnsiTheme="minorHAnsi" w:cstheme="minorHAnsi"/>
          <w:sz w:val="22"/>
          <w:szCs w:val="22"/>
        </w:rPr>
        <w:t xml:space="preserve">Si les biens entrent dans les catégories de biens définis à l’article R311-2 du code de la sécurité </w:t>
      </w:r>
      <w:r w:rsidR="006B7A02" w:rsidRPr="00B26C7B">
        <w:rPr>
          <w:rFonts w:asciiTheme="minorHAnsi" w:eastAsia="Times New Roman" w:hAnsiTheme="minorHAnsi" w:cstheme="minorHAnsi"/>
          <w:sz w:val="22"/>
          <w:szCs w:val="22"/>
        </w:rPr>
        <w:t>intérieure, le</w:t>
      </w:r>
      <w:r w:rsidRPr="00B26C7B">
        <w:rPr>
          <w:rFonts w:asciiTheme="minorHAnsi" w:eastAsia="Times New Roman" w:hAnsiTheme="minorHAnsi" w:cstheme="minorHAnsi"/>
          <w:sz w:val="22"/>
          <w:szCs w:val="22"/>
        </w:rPr>
        <w:t xml:space="preserv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w:t>
      </w:r>
      <w:r w:rsidRPr="00A86E43">
        <w:rPr>
          <w:rFonts w:asciiTheme="minorHAnsi" w:hAnsiTheme="minorHAnsi" w:cstheme="minorHAnsi"/>
          <w:szCs w:val="22"/>
        </w:rPr>
        <w:lastRenderedPageBreak/>
        <w:t xml:space="preserve">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95BB9F7" w14:textId="5567ABF3" w:rsidR="005C1231" w:rsidRPr="00A86E43" w:rsidRDefault="00100109" w:rsidP="00B26C7B">
      <w:pPr>
        <w:pStyle w:val="u"/>
        <w:widowControl w:val="0"/>
        <w:numPr>
          <w:ilvl w:val="12"/>
          <w:numId w:val="0"/>
        </w:numPr>
        <w:ind w:left="567"/>
        <w:rPr>
          <w:rFonts w:asciiTheme="minorHAnsi" w:hAnsiTheme="minorHAnsi" w:cstheme="minorHAnsi"/>
          <w:szCs w:val="22"/>
          <w:highlight w:val="yellow"/>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B26C7B">
        <w:rPr>
          <w:rFonts w:asciiTheme="minorHAnsi" w:hAnsiTheme="minorHAnsi" w:cstheme="minorHAnsi"/>
          <w:szCs w:val="22"/>
        </w:rPr>
        <w:t>prestations.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69482A1" w14:textId="48DE10AC" w:rsidR="006B7A02" w:rsidRDefault="006B7A02" w:rsidP="006B7A02">
            <w:pPr>
              <w:jc w:val="both"/>
              <w:rPr>
                <w:rFonts w:ascii="Calibri" w:hAnsi="Calibri"/>
                <w:sz w:val="22"/>
                <w:szCs w:val="22"/>
              </w:rPr>
            </w:pPr>
            <w:r>
              <w:rPr>
                <w:rFonts w:ascii="Calibri" w:hAnsi="Calibri"/>
                <w:sz w:val="22"/>
                <w:szCs w:val="22"/>
              </w:rPr>
              <w:t>Abdoul Kader ADAMOU</w:t>
            </w:r>
            <w:r w:rsidRPr="00335D0F">
              <w:rPr>
                <w:rFonts w:ascii="Calibri" w:hAnsi="Calibri"/>
                <w:sz w:val="22"/>
                <w:szCs w:val="22"/>
              </w:rPr>
              <w:t>, Chef de p</w:t>
            </w:r>
            <w:r>
              <w:rPr>
                <w:rFonts w:ascii="Calibri" w:hAnsi="Calibri"/>
                <w:sz w:val="22"/>
                <w:szCs w:val="22"/>
              </w:rPr>
              <w:t>rojet AFIDEV </w:t>
            </w:r>
          </w:p>
          <w:p w14:paraId="402339E2" w14:textId="271BF50C" w:rsidR="006B7A02" w:rsidRDefault="0076480A" w:rsidP="006B7A02">
            <w:pPr>
              <w:jc w:val="both"/>
              <w:rPr>
                <w:rFonts w:ascii="Calibri" w:hAnsi="Calibri"/>
                <w:sz w:val="22"/>
                <w:szCs w:val="22"/>
              </w:rPr>
            </w:pPr>
            <w:hyperlink r:id="rId22" w:history="1">
              <w:r w:rsidR="006B7A02" w:rsidRPr="00BA3B59">
                <w:rPr>
                  <w:rStyle w:val="Lienhypertexte"/>
                  <w:rFonts w:ascii="Calibri" w:hAnsi="Calibri"/>
                  <w:sz w:val="22"/>
                  <w:szCs w:val="22"/>
                </w:rPr>
                <w:t>abdoul-kader.adamou@expertisefrance.fr</w:t>
              </w:r>
            </w:hyperlink>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0B539AB9"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3" w:history="1">
        <w:r>
          <w:rPr>
            <w:rStyle w:val="Lienhypertexte"/>
            <w:rFonts w:asciiTheme="minorHAnsi" w:hAnsiTheme="minorHAnsi"/>
            <w:szCs w:val="22"/>
          </w:rPr>
          <w:t>https://www.ecologie.gouv.fr/sites/default/files/Guide_politique_achat_public_zero_deforestation.pdf</w:t>
        </w:r>
      </w:hyperlink>
    </w:p>
    <w:p w14:paraId="2163588A" w14:textId="7327B451" w:rsidR="00B26C7B" w:rsidRDefault="00B26C7B" w:rsidP="00BB7DD0">
      <w:pPr>
        <w:pStyle w:val="v"/>
        <w:widowControl w:val="0"/>
        <w:numPr>
          <w:ilvl w:val="12"/>
          <w:numId w:val="0"/>
        </w:numPr>
        <w:spacing w:before="120"/>
        <w:ind w:left="561"/>
        <w:rPr>
          <w:rStyle w:val="Lienhypertexte"/>
          <w:rFonts w:asciiTheme="minorHAnsi" w:hAnsiTheme="minorHAnsi"/>
          <w:szCs w:val="22"/>
        </w:rPr>
      </w:pPr>
    </w:p>
    <w:p w14:paraId="553D6FBA" w14:textId="500F8BFD" w:rsidR="00B26C7B" w:rsidRDefault="00B26C7B" w:rsidP="00BB7DD0">
      <w:pPr>
        <w:pStyle w:val="v"/>
        <w:widowControl w:val="0"/>
        <w:numPr>
          <w:ilvl w:val="12"/>
          <w:numId w:val="0"/>
        </w:numPr>
        <w:spacing w:before="120"/>
        <w:ind w:left="561"/>
        <w:rPr>
          <w:rStyle w:val="Lienhypertexte"/>
          <w:rFonts w:asciiTheme="minorHAnsi" w:hAnsiTheme="minorHAnsi"/>
          <w:szCs w:val="22"/>
        </w:rPr>
      </w:pPr>
    </w:p>
    <w:p w14:paraId="7F7A56D4" w14:textId="77777777" w:rsidR="00B26C7B" w:rsidRPr="00A86E43" w:rsidRDefault="00B26C7B"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lastRenderedPageBreak/>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56387B99" w:rsidR="009766DB" w:rsidRPr="00B26C7B" w:rsidRDefault="009766DB" w:rsidP="00345AEE">
      <w:pPr>
        <w:pStyle w:val="u"/>
        <w:widowControl w:val="0"/>
        <w:numPr>
          <w:ilvl w:val="0"/>
          <w:numId w:val="51"/>
        </w:numPr>
        <w:spacing w:before="120"/>
        <w:rPr>
          <w:rFonts w:asciiTheme="minorHAnsi" w:hAnsiTheme="minorHAnsi" w:cs="Arial"/>
          <w:szCs w:val="22"/>
        </w:rPr>
      </w:pPr>
      <w:r w:rsidRPr="00B26C7B">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B26C7B">
        <w:rPr>
          <w:rFonts w:asciiTheme="minorHAnsi" w:hAnsiTheme="minorHAnsi" w:cs="Arial"/>
          <w:smallCaps/>
          <w:szCs w:val="22"/>
        </w:rPr>
        <w:t>Expertise France</w:t>
      </w:r>
      <w:r w:rsidRPr="00B26C7B">
        <w:rPr>
          <w:rFonts w:asciiTheme="minorHAnsi" w:hAnsiTheme="minorHAnsi" w:cs="Arial"/>
          <w:szCs w:val="22"/>
        </w:rPr>
        <w:t>;</w:t>
      </w:r>
    </w:p>
    <w:p w14:paraId="14FF8CBF" w14:textId="5EDE7F25" w:rsidR="009766DB" w:rsidRPr="00B26C7B" w:rsidRDefault="009766DB" w:rsidP="0089576F">
      <w:pPr>
        <w:pStyle w:val="u"/>
        <w:widowControl w:val="0"/>
        <w:numPr>
          <w:ilvl w:val="0"/>
          <w:numId w:val="51"/>
        </w:numPr>
        <w:spacing w:before="120"/>
        <w:rPr>
          <w:rFonts w:asciiTheme="minorHAnsi" w:hAnsiTheme="minorHAnsi" w:cs="Arial"/>
          <w:szCs w:val="22"/>
        </w:rPr>
      </w:pPr>
      <w:r w:rsidRPr="00B26C7B">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77777777"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 xml:space="preserve">Lors </w:t>
      </w:r>
      <w:r w:rsidR="001E2FD5" w:rsidRPr="00A86E43">
        <w:rPr>
          <w:rFonts w:asciiTheme="minorHAnsi" w:eastAsia="Times New Roman" w:hAnsiTheme="minorHAnsi" w:cs="Arial"/>
          <w:sz w:val="22"/>
          <w:szCs w:val="22"/>
        </w:rPr>
        <w:lastRenderedPageBreak/>
        <w:t>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D7F1F4E" w14:textId="3644E02C" w:rsidR="0000635E" w:rsidRPr="0037245F" w:rsidRDefault="0000635E" w:rsidP="00A1761D">
      <w:pPr>
        <w:spacing w:line="240" w:lineRule="auto"/>
        <w:ind w:left="567"/>
        <w:jc w:val="both"/>
        <w:rPr>
          <w:rFonts w:asciiTheme="minorHAnsi" w:hAnsiTheme="minorHAnsi" w:cstheme="minorHAnsi"/>
          <w:sz w:val="22"/>
          <w:szCs w:val="22"/>
        </w:rPr>
      </w:pPr>
      <w:r w:rsidRPr="0037245F">
        <w:rPr>
          <w:rFonts w:asciiTheme="minorHAnsi" w:hAnsiTheme="minorHAnsi" w:cstheme="minorHAnsi"/>
          <w:sz w:val="22"/>
          <w:szCs w:val="22"/>
        </w:rPr>
        <w:t xml:space="preserve">Le présent </w:t>
      </w:r>
      <w:r w:rsidRPr="0037245F">
        <w:rPr>
          <w:rFonts w:asciiTheme="minorHAnsi" w:hAnsiTheme="minorHAnsi" w:cstheme="minorHAnsi"/>
          <w:smallCaps/>
          <w:sz w:val="22"/>
          <w:szCs w:val="22"/>
        </w:rPr>
        <w:t>contrat</w:t>
      </w:r>
      <w:r w:rsidRPr="0037245F">
        <w:rPr>
          <w:rFonts w:asciiTheme="minorHAnsi" w:hAnsiTheme="minorHAnsi" w:cstheme="minorHAnsi"/>
          <w:sz w:val="22"/>
          <w:szCs w:val="22"/>
        </w:rPr>
        <w:t xml:space="preserve"> est soumis aux clauses de résiliation telle que défini</w:t>
      </w:r>
      <w:r w:rsidR="00884FDC" w:rsidRPr="0037245F">
        <w:rPr>
          <w:rFonts w:asciiTheme="minorHAnsi" w:hAnsiTheme="minorHAnsi" w:cstheme="minorHAnsi"/>
          <w:sz w:val="22"/>
          <w:szCs w:val="22"/>
        </w:rPr>
        <w:t>es aux articles 29 à 36 du CCAG</w:t>
      </w:r>
      <w:r w:rsidR="00B813FE" w:rsidRPr="0037245F">
        <w:rPr>
          <w:rFonts w:asciiTheme="minorHAnsi" w:hAnsiTheme="minorHAnsi" w:cstheme="minorHAnsi"/>
          <w:sz w:val="22"/>
          <w:szCs w:val="22"/>
        </w:rPr>
        <w:t xml:space="preserve"> FCS</w:t>
      </w:r>
      <w:r w:rsidRPr="0037245F">
        <w:rPr>
          <w:rFonts w:asciiTheme="minorHAnsi" w:hAnsiTheme="minorHAnsi" w:cstheme="minorHAnsi"/>
          <w:sz w:val="22"/>
          <w:szCs w:val="22"/>
        </w:rPr>
        <w:t>.</w:t>
      </w:r>
    </w:p>
    <w:p w14:paraId="58C218A4" w14:textId="0294EF46" w:rsidR="00704355" w:rsidRPr="0037245F" w:rsidRDefault="00704355" w:rsidP="00A1761D">
      <w:pPr>
        <w:spacing w:line="240" w:lineRule="auto"/>
        <w:ind w:left="567"/>
        <w:jc w:val="both"/>
        <w:rPr>
          <w:rFonts w:asciiTheme="minorHAnsi" w:hAnsiTheme="minorHAnsi" w:cstheme="minorHAnsi"/>
          <w:sz w:val="22"/>
          <w:szCs w:val="22"/>
        </w:rPr>
      </w:pPr>
    </w:p>
    <w:p w14:paraId="26AC07CE" w14:textId="131FF5E9" w:rsidR="00704355" w:rsidRPr="00A86E43" w:rsidRDefault="00912BFE" w:rsidP="00A1761D">
      <w:pPr>
        <w:spacing w:line="240" w:lineRule="auto"/>
        <w:ind w:left="567"/>
        <w:jc w:val="both"/>
        <w:rPr>
          <w:rFonts w:asciiTheme="minorHAnsi" w:hAnsiTheme="minorHAnsi" w:cstheme="minorHAnsi"/>
          <w:sz w:val="22"/>
          <w:szCs w:val="22"/>
        </w:rPr>
      </w:pPr>
      <w:r w:rsidRPr="0037245F">
        <w:rPr>
          <w:rFonts w:asciiTheme="minorHAnsi" w:hAnsiTheme="minorHAnsi" w:cstheme="minorHAnsi"/>
          <w:sz w:val="22"/>
          <w:szCs w:val="22"/>
        </w:rPr>
        <w:t xml:space="preserve">Par dérogation à l’article </w:t>
      </w:r>
      <w:r w:rsidR="000C75D3" w:rsidRPr="0037245F">
        <w:rPr>
          <w:rFonts w:asciiTheme="minorHAnsi" w:hAnsiTheme="minorHAnsi" w:cstheme="minorHAnsi"/>
          <w:sz w:val="22"/>
          <w:szCs w:val="22"/>
        </w:rPr>
        <w:t>42 du CCAG FCS</w:t>
      </w:r>
      <w:r w:rsidRPr="0037245F">
        <w:rPr>
          <w:rFonts w:asciiTheme="minorHAnsi" w:hAnsiTheme="minorHAnsi" w:cstheme="minorHAnsi"/>
          <w:sz w:val="22"/>
          <w:szCs w:val="22"/>
        </w:rPr>
        <w:t>, la résiliation pour motif d’intérêt générale n’est pas applicable au présent contrat. Toutefois les parties s’accordent la possibilité de recourir à la résiliation d’un commun accord.</w:t>
      </w:r>
      <w:r>
        <w:rPr>
          <w:rFonts w:asciiTheme="minorHAnsi" w:hAnsiTheme="minorHAnsi" w:cstheme="minorHAnsi"/>
          <w:sz w:val="22"/>
          <w:szCs w:val="22"/>
        </w:rPr>
        <w:t xml:space="preserve">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lastRenderedPageBreak/>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4">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5"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w:t>
      </w:r>
      <w:r w:rsidRPr="00A86E43">
        <w:rPr>
          <w:rFonts w:asciiTheme="minorHAnsi" w:eastAsia="Times New Roman" w:hAnsiTheme="minorHAnsi" w:cstheme="minorHAnsi"/>
          <w:sz w:val="22"/>
        </w:rPr>
        <w:lastRenderedPageBreak/>
        <w:t>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6"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r w:rsidRPr="00A86E43">
        <w:rPr>
          <w:rFonts w:asciiTheme="minorHAnsi" w:eastAsia="Times New Roman" w:hAnsiTheme="minorHAnsi" w:cstheme="minorHAnsi"/>
          <w:sz w:val="22"/>
        </w:rPr>
        <w:t>]</w:t>
      </w:r>
    </w:p>
    <w:bookmarkEnd w:id="125"/>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lastRenderedPageBreak/>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3"/>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4"/>
      <w:footerReference w:type="even" r:id="rId35"/>
      <w:footerReference w:type="default" r:id="rId36"/>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47620" w14:textId="77777777" w:rsidR="0076480A" w:rsidRDefault="0076480A">
      <w:r>
        <w:separator/>
      </w:r>
    </w:p>
  </w:endnote>
  <w:endnote w:type="continuationSeparator" w:id="0">
    <w:p w14:paraId="1948D961" w14:textId="77777777" w:rsidR="0076480A" w:rsidRDefault="00764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F3608A" w:rsidRDefault="00F3608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F3608A" w:rsidRDefault="00F3608A"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A14754A" w:rsidR="00F3608A" w:rsidRDefault="00F3608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D364B">
              <w:rPr>
                <w:rFonts w:asciiTheme="minorHAnsi" w:hAnsiTheme="minorHAnsi"/>
                <w:b/>
                <w:bCs/>
                <w:noProof/>
                <w:sz w:val="22"/>
                <w:szCs w:val="22"/>
              </w:rPr>
              <w:t>4</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D364B">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F3608A" w:rsidRDefault="0076480A"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F3608A" w:rsidRDefault="00F3608A"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72067FEE" w:rsidR="00F3608A" w:rsidRDefault="00F3608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D364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D364B">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F3608A" w:rsidRDefault="00F3608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F3608A" w:rsidRDefault="00F3608A"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F3608A" w:rsidRPr="00065565" w:rsidRDefault="00F3608A"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F3608A" w:rsidRDefault="00F3608A">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F3608A" w:rsidRPr="00EE0FDD" w:rsidRDefault="00F3608A"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D5583EC" w:rsidR="00F3608A" w:rsidRPr="00FF1F8E" w:rsidRDefault="00F3608A"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D364B">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D364B">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D84D0" w14:textId="77777777" w:rsidR="0076480A" w:rsidRDefault="0076480A">
      <w:r>
        <w:separator/>
      </w:r>
    </w:p>
  </w:footnote>
  <w:footnote w:type="continuationSeparator" w:id="0">
    <w:p w14:paraId="534F3D00" w14:textId="77777777" w:rsidR="0076480A" w:rsidRDefault="0076480A">
      <w:r>
        <w:continuationSeparator/>
      </w:r>
    </w:p>
  </w:footnote>
  <w:footnote w:id="1">
    <w:p w14:paraId="73F627CC" w14:textId="77777777" w:rsidR="00F3608A" w:rsidRPr="00B21564" w:rsidRDefault="00F3608A"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F3608A" w:rsidRPr="00A86E43" w:rsidRDefault="00F3608A"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F3608A" w:rsidRDefault="00F3608A"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F3608A" w:rsidRDefault="00F3608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F3608A" w:rsidRPr="00707B69" w:rsidRDefault="00F3608A"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F3608A" w:rsidRPr="00AC48DD" w:rsidRDefault="00F3608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F3608A" w:rsidRDefault="00F3608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F3608A" w:rsidRPr="00AC48DD" w:rsidRDefault="00F3608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F3608A" w:rsidRDefault="00F3608A">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F3608A" w:rsidRDefault="00F3608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F3608A" w:rsidRPr="00707B69" w:rsidRDefault="00F3608A"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F3608A" w:rsidRPr="00AC48DD" w:rsidRDefault="00F3608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F3608A" w:rsidRDefault="00F3608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F3608A" w:rsidRPr="00AC48DD" w:rsidRDefault="00F3608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F3608A" w:rsidRPr="00707B69" w:rsidRDefault="00F3608A"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F3608A" w:rsidRPr="00AC48DD" w:rsidRDefault="00F3608A"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F3608A" w:rsidRDefault="00F3608A"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F3608A" w:rsidRPr="00996FEA" w:rsidRDefault="00F3608A"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5E1496"/>
    <w:multiLevelType w:val="hybridMultilevel"/>
    <w:tmpl w:val="C8C8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45978F0"/>
    <w:multiLevelType w:val="hybridMultilevel"/>
    <w:tmpl w:val="92CC118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8A71F13"/>
    <w:multiLevelType w:val="hybridMultilevel"/>
    <w:tmpl w:val="1D328490"/>
    <w:lvl w:ilvl="0" w:tplc="661225A8">
      <w:start w:val="25"/>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3A355D7"/>
    <w:multiLevelType w:val="hybridMultilevel"/>
    <w:tmpl w:val="DD48B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3"/>
  </w:num>
  <w:num w:numId="5">
    <w:abstractNumId w:val="6"/>
  </w:num>
  <w:num w:numId="6">
    <w:abstractNumId w:val="50"/>
  </w:num>
  <w:num w:numId="7">
    <w:abstractNumId w:val="17"/>
  </w:num>
  <w:num w:numId="8">
    <w:abstractNumId w:val="32"/>
  </w:num>
  <w:num w:numId="9">
    <w:abstractNumId w:val="14"/>
  </w:num>
  <w:num w:numId="10">
    <w:abstractNumId w:val="21"/>
  </w:num>
  <w:num w:numId="11">
    <w:abstractNumId w:val="25"/>
  </w:num>
  <w:num w:numId="12">
    <w:abstractNumId w:val="19"/>
  </w:num>
  <w:num w:numId="13">
    <w:abstractNumId w:val="49"/>
  </w:num>
  <w:num w:numId="14">
    <w:abstractNumId w:val="11"/>
  </w:num>
  <w:num w:numId="15">
    <w:abstractNumId w:val="53"/>
  </w:num>
  <w:num w:numId="16">
    <w:abstractNumId w:val="35"/>
  </w:num>
  <w:num w:numId="17">
    <w:abstractNumId w:val="58"/>
  </w:num>
  <w:num w:numId="18">
    <w:abstractNumId w:val="0"/>
    <w:lvlOverride w:ilvl="0">
      <w:startOverride w:val="1"/>
    </w:lvlOverride>
  </w:num>
  <w:num w:numId="19">
    <w:abstractNumId w:val="37"/>
  </w:num>
  <w:num w:numId="20">
    <w:abstractNumId w:val="1"/>
  </w:num>
  <w:num w:numId="21">
    <w:abstractNumId w:val="60"/>
  </w:num>
  <w:num w:numId="22">
    <w:abstractNumId w:val="59"/>
  </w:num>
  <w:num w:numId="23">
    <w:abstractNumId w:val="38"/>
  </w:num>
  <w:num w:numId="24">
    <w:abstractNumId w:val="47"/>
  </w:num>
  <w:num w:numId="25">
    <w:abstractNumId w:val="16"/>
  </w:num>
  <w:num w:numId="26">
    <w:abstractNumId w:val="36"/>
  </w:num>
  <w:num w:numId="27">
    <w:abstractNumId w:val="57"/>
  </w:num>
  <w:num w:numId="28">
    <w:abstractNumId w:val="13"/>
  </w:num>
  <w:num w:numId="29">
    <w:abstractNumId w:val="10"/>
  </w:num>
  <w:num w:numId="30">
    <w:abstractNumId w:val="12"/>
  </w:num>
  <w:num w:numId="31">
    <w:abstractNumId w:val="2"/>
  </w:num>
  <w:num w:numId="32">
    <w:abstractNumId w:val="22"/>
  </w:num>
  <w:num w:numId="33">
    <w:abstractNumId w:val="23"/>
  </w:num>
  <w:num w:numId="34">
    <w:abstractNumId w:val="28"/>
  </w:num>
  <w:num w:numId="35">
    <w:abstractNumId w:val="48"/>
  </w:num>
  <w:num w:numId="36">
    <w:abstractNumId w:val="18"/>
  </w:num>
  <w:num w:numId="37">
    <w:abstractNumId w:val="41"/>
  </w:num>
  <w:num w:numId="38">
    <w:abstractNumId w:val="4"/>
  </w:num>
  <w:num w:numId="39">
    <w:abstractNumId w:val="56"/>
  </w:num>
  <w:num w:numId="40">
    <w:abstractNumId w:val="54"/>
  </w:num>
  <w:num w:numId="41">
    <w:abstractNumId w:val="51"/>
  </w:num>
  <w:num w:numId="42">
    <w:abstractNumId w:val="39"/>
  </w:num>
  <w:num w:numId="43">
    <w:abstractNumId w:val="9"/>
  </w:num>
  <w:num w:numId="44">
    <w:abstractNumId w:val="45"/>
  </w:num>
  <w:num w:numId="45">
    <w:abstractNumId w:val="10"/>
  </w:num>
  <w:num w:numId="46">
    <w:abstractNumId w:val="10"/>
  </w:num>
  <w:num w:numId="47">
    <w:abstractNumId w:val="46"/>
  </w:num>
  <w:num w:numId="48">
    <w:abstractNumId w:val="3"/>
  </w:num>
  <w:num w:numId="49">
    <w:abstractNumId w:val="34"/>
  </w:num>
  <w:num w:numId="50">
    <w:abstractNumId w:val="40"/>
  </w:num>
  <w:num w:numId="51">
    <w:abstractNumId w:val="15"/>
  </w:num>
  <w:num w:numId="52">
    <w:abstractNumId w:val="8"/>
  </w:num>
  <w:num w:numId="53">
    <w:abstractNumId w:val="29"/>
  </w:num>
  <w:num w:numId="54">
    <w:abstractNumId w:val="52"/>
  </w:num>
  <w:num w:numId="55">
    <w:abstractNumId w:val="24"/>
  </w:num>
  <w:num w:numId="56">
    <w:abstractNumId w:val="31"/>
  </w:num>
  <w:num w:numId="57">
    <w:abstractNumId w:val="33"/>
  </w:num>
  <w:num w:numId="58">
    <w:abstractNumId w:val="24"/>
  </w:num>
  <w:num w:numId="59">
    <w:abstractNumId w:val="27"/>
  </w:num>
  <w:num w:numId="60">
    <w:abstractNumId w:val="24"/>
  </w:num>
  <w:num w:numId="61">
    <w:abstractNumId w:val="42"/>
  </w:num>
  <w:num w:numId="62">
    <w:abstractNumId w:val="55"/>
  </w:num>
  <w:num w:numId="63">
    <w:abstractNumId w:val="5"/>
  </w:num>
  <w:num w:numId="64">
    <w:abstractNumId w:val="60"/>
  </w:num>
  <w:num w:numId="65">
    <w:abstractNumId w:val="60"/>
  </w:num>
  <w:num w:numId="66">
    <w:abstractNumId w:val="30"/>
  </w:num>
  <w:num w:numId="67">
    <w:abstractNumId w:val="26"/>
  </w:num>
  <w:num w:numId="68">
    <w:abstractNumId w:val="20"/>
  </w:num>
  <w:num w:numId="69">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5842"/>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3BF"/>
    <w:rsid w:val="001B68F8"/>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5E4A"/>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0A13"/>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57FFD"/>
    <w:rsid w:val="00363261"/>
    <w:rsid w:val="00366937"/>
    <w:rsid w:val="00370EDB"/>
    <w:rsid w:val="0037245F"/>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29A"/>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3C06"/>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32D7"/>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1336"/>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B7A02"/>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0416"/>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480A"/>
    <w:rsid w:val="007654E9"/>
    <w:rsid w:val="007716CB"/>
    <w:rsid w:val="00775808"/>
    <w:rsid w:val="00776626"/>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86D"/>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05B"/>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485F"/>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59F7"/>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6C7B"/>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35B9"/>
    <w:rsid w:val="00C54C14"/>
    <w:rsid w:val="00C64382"/>
    <w:rsid w:val="00C650D5"/>
    <w:rsid w:val="00C6688F"/>
    <w:rsid w:val="00C66F56"/>
    <w:rsid w:val="00C67075"/>
    <w:rsid w:val="00C71F4D"/>
    <w:rsid w:val="00C72690"/>
    <w:rsid w:val="00C738AA"/>
    <w:rsid w:val="00C7602F"/>
    <w:rsid w:val="00C76523"/>
    <w:rsid w:val="00C84056"/>
    <w:rsid w:val="00C8611D"/>
    <w:rsid w:val="00C919B4"/>
    <w:rsid w:val="00C919E3"/>
    <w:rsid w:val="00C92428"/>
    <w:rsid w:val="00C94B45"/>
    <w:rsid w:val="00C9526B"/>
    <w:rsid w:val="00C9690C"/>
    <w:rsid w:val="00C973C2"/>
    <w:rsid w:val="00CA073A"/>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3F48"/>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608A"/>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3EC6"/>
    <w:rsid w:val="00FB4BDD"/>
    <w:rsid w:val="00FC102B"/>
    <w:rsid w:val="00FC23CC"/>
    <w:rsid w:val="00FC3A2A"/>
    <w:rsid w:val="00FD364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3F77BA60-DE56-4F6F-A06E-30DACF2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customStyle="1" w:styleId="Paragraphedeliste1">
    <w:name w:val="Paragraphe de liste1"/>
    <w:basedOn w:val="Normal"/>
    <w:rsid w:val="00776626"/>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10729254">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bdoul-kader.adamou@expertisefrance.fr" TargetMode="External"/><Relationship Id="rId26" Type="http://schemas.openxmlformats.org/officeDocument/2006/relationships/hyperlink" Target="mailto:informatique.libertes@expertisefrance.fr" TargetMode="External"/><Relationship Id="rId21" Type="http://schemas.openxmlformats.org/officeDocument/2006/relationships/hyperlink" Target="mailto:mohamed.bacar-dossar@expertisefrance.f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facturation.comores@expertisefrance.f" TargetMode="External"/><Relationship Id="rId25" Type="http://schemas.openxmlformats.org/officeDocument/2006/relationships/hyperlink" Target="http://www.expertisefrance.fr"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abdoul-kader.adamou@expertisefrance.fr" TargetMode="Externa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xpertisefrance.fr/documents/20182/426622/Expertise+France+&#8211;+Code+de+conduite/2408659b-a84e-45ac-a142-47d5dc21faf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mailto:mohamed.bacar-dossar@expertisefrance.fr" TargetMode="Externa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abdoul-kader.adamou@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ECA9A-AACC-4D11-8311-49C2040B9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32</TotalTime>
  <Pages>23</Pages>
  <Words>7928</Words>
  <Characters>43609</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51435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Soulé Hamadi Said</cp:lastModifiedBy>
  <cp:revision>9</cp:revision>
  <cp:lastPrinted>2014-11-19T14:39:00Z</cp:lastPrinted>
  <dcterms:created xsi:type="dcterms:W3CDTF">2025-05-30T12:52:00Z</dcterms:created>
  <dcterms:modified xsi:type="dcterms:W3CDTF">2025-06-02T09:49:00Z</dcterms:modified>
</cp:coreProperties>
</file>